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9628"/>
      </w:tblGrid>
      <w:tr>
        <w:trPr>
          <w:trHeight w:val="1" w:hRule="atLeast"/>
          <w:jc w:val="left"/>
        </w:trPr>
        <w:tc>
          <w:tcPr>
            <w:tcW w:w="9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36"/>
                <w:shd w:fill="auto" w:val="clear"/>
              </w:rPr>
              <w:t xml:space="preserve">Udvalgets navn:KPD/KAPD udvalget (</w:t>
            </w:r>
            <w:r>
              <w:rPr>
                <w:rFonts w:ascii="Calibri" w:hAnsi="Calibri" w:cs="Calibri" w:eastAsia="Calibri"/>
                <w:b/>
                <w:color w:val="auto"/>
                <w:spacing w:val="0"/>
                <w:position w:val="0"/>
                <w:sz w:val="24"/>
                <w:shd w:fill="auto" w:val="clear"/>
              </w:rPr>
              <w:t xml:space="preserve">K</w:t>
            </w:r>
            <w:r>
              <w:rPr>
                <w:rFonts w:ascii="Calibri" w:hAnsi="Calibri" w:cs="Calibri" w:eastAsia="Calibri"/>
                <w:color w:val="auto"/>
                <w:spacing w:val="0"/>
                <w:position w:val="0"/>
                <w:sz w:val="24"/>
                <w:shd w:fill="auto" w:val="clear"/>
              </w:rPr>
              <w:t xml:space="preserve">lub </w:t>
            </w:r>
            <w:r>
              <w:rPr>
                <w:rFonts w:ascii="Calibri" w:hAnsi="Calibri" w:cs="Calibri" w:eastAsia="Calibri"/>
                <w:b/>
                <w:color w:val="auto"/>
                <w:spacing w:val="0"/>
                <w:position w:val="0"/>
                <w:sz w:val="24"/>
                <w:shd w:fill="auto" w:val="clear"/>
              </w:rPr>
              <w:t xml:space="preserve">P</w:t>
            </w:r>
            <w:r>
              <w:rPr>
                <w:rFonts w:ascii="Calibri" w:hAnsi="Calibri" w:cs="Calibri" w:eastAsia="Calibri"/>
                <w:color w:val="auto"/>
                <w:spacing w:val="0"/>
                <w:position w:val="0"/>
                <w:sz w:val="24"/>
                <w:shd w:fill="auto" w:val="clear"/>
              </w:rPr>
              <w:t xml:space="preserve">rogramme </w:t>
            </w:r>
            <w:r>
              <w:rPr>
                <w:rFonts w:ascii="Calibri" w:hAnsi="Calibri" w:cs="Calibri" w:eastAsia="Calibri"/>
                <w:b/>
                <w:color w:val="auto"/>
                <w:spacing w:val="0"/>
                <w:position w:val="0"/>
                <w:sz w:val="24"/>
                <w:shd w:fill="auto" w:val="clear"/>
              </w:rPr>
              <w:t xml:space="preserve">D</w:t>
            </w:r>
            <w:r>
              <w:rPr>
                <w:rFonts w:ascii="Calibri" w:hAnsi="Calibri" w:cs="Calibri" w:eastAsia="Calibri"/>
                <w:color w:val="auto"/>
                <w:spacing w:val="0"/>
                <w:position w:val="0"/>
                <w:sz w:val="24"/>
                <w:shd w:fill="auto" w:val="clear"/>
              </w:rPr>
              <w:t xml:space="preserve">irector/</w:t>
            </w:r>
            <w:r>
              <w:rPr>
                <w:rFonts w:ascii="Calibri" w:hAnsi="Calibri" w:cs="Calibri" w:eastAsia="Calibri"/>
                <w:b/>
                <w:color w:val="auto"/>
                <w:spacing w:val="0"/>
                <w:position w:val="0"/>
                <w:sz w:val="24"/>
                <w:shd w:fill="auto" w:val="clear"/>
              </w:rPr>
              <w:t xml:space="preserve">K</w:t>
            </w:r>
            <w:r>
              <w:rPr>
                <w:rFonts w:ascii="Calibri" w:hAnsi="Calibri" w:cs="Calibri" w:eastAsia="Calibri"/>
                <w:color w:val="auto"/>
                <w:spacing w:val="0"/>
                <w:position w:val="0"/>
                <w:sz w:val="24"/>
                <w:shd w:fill="auto" w:val="clear"/>
              </w:rPr>
              <w:t xml:space="preserve">lub </w:t>
            </w:r>
            <w:r>
              <w:rPr>
                <w:rFonts w:ascii="Calibri" w:hAnsi="Calibri" w:cs="Calibri" w:eastAsia="Calibri"/>
                <w:b/>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ssistent </w:t>
            </w:r>
            <w:r>
              <w:rPr>
                <w:rFonts w:ascii="Calibri" w:hAnsi="Calibri" w:cs="Calibri" w:eastAsia="Calibri"/>
                <w:b/>
                <w:color w:val="auto"/>
                <w:spacing w:val="0"/>
                <w:position w:val="0"/>
                <w:sz w:val="24"/>
                <w:shd w:fill="auto" w:val="clear"/>
              </w:rPr>
              <w:t xml:space="preserve">P</w:t>
            </w:r>
            <w:r>
              <w:rPr>
                <w:rFonts w:ascii="Calibri" w:hAnsi="Calibri" w:cs="Calibri" w:eastAsia="Calibri"/>
                <w:color w:val="auto"/>
                <w:spacing w:val="0"/>
                <w:position w:val="0"/>
                <w:sz w:val="24"/>
                <w:shd w:fill="auto" w:val="clear"/>
              </w:rPr>
              <w:t xml:space="preserve">rogramme </w:t>
            </w:r>
            <w:r>
              <w:rPr>
                <w:rFonts w:ascii="Calibri" w:hAnsi="Calibri" w:cs="Calibri" w:eastAsia="Calibri"/>
                <w:b/>
                <w:color w:val="auto"/>
                <w:spacing w:val="0"/>
                <w:position w:val="0"/>
                <w:sz w:val="24"/>
                <w:shd w:fill="auto" w:val="clear"/>
              </w:rPr>
              <w:t xml:space="preserve">D</w:t>
            </w:r>
            <w:r>
              <w:rPr>
                <w:rFonts w:ascii="Calibri" w:hAnsi="Calibri" w:cs="Calibri" w:eastAsia="Calibri"/>
                <w:color w:val="auto"/>
                <w:spacing w:val="0"/>
                <w:position w:val="0"/>
                <w:sz w:val="24"/>
                <w:shd w:fill="auto" w:val="clear"/>
              </w:rPr>
              <w:t xml:space="preserve">irector</w:t>
            </w:r>
          </w:p>
        </w:tc>
      </w:tr>
      <w:tr>
        <w:trPr>
          <w:trHeight w:val="1" w:hRule="atLeast"/>
          <w:jc w:val="left"/>
        </w:trPr>
        <w:tc>
          <w:tcPr>
            <w:tcW w:w="9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Gruppens praksis beskrives kort (5-10 linjer)</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KPD og KAPD er Klubbens forbindelsesled til RPD (Regionens Programme Director) og til Unionens Programme Director. KPD er født medlem af klubbens bestyrelse, samarbejder med bestyrelsen og byder ind med punkter til dagsorden forud for bestyrelsesmøder.</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 </w:t>
            </w:r>
          </w:p>
        </w:tc>
      </w:tr>
      <w:tr>
        <w:trPr>
          <w:trHeight w:val="1" w:hRule="atLeast"/>
          <w:jc w:val="left"/>
        </w:trPr>
        <w:tc>
          <w:tcPr>
            <w:tcW w:w="9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Gruppens aktiviteter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Har taletid på alle klubmøder. Formidler nyt fra RPD og deltager på Region 2’s inspirationsmøder, der afholdes 1-2 gange årligt.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Planlægger og forestår 2 klubmøder om året. Møderne er ”indemøder” med fokus på trivsel/inspiration/soroptimisme/ debat om klubbens aktiviteter/ diskussioner om interne aktuelle temaer, ex. Årshjul og extension.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KPD udvalget afholder møder 3-4 gange/år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9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Gruppens ansvarsområde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Relaterer sig til Soroptimist International Odders Klubreglement pkt. 14 samt SI Danmarks Klublove og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Vedt</w:t>
            </w:r>
            <w:r>
              <w:rPr>
                <w:rFonts w:ascii="Calibri" w:hAnsi="Calibri" w:cs="Calibri" w:eastAsia="Calibri"/>
                <w:color w:val="auto"/>
                <w:spacing w:val="0"/>
                <w:position w:val="0"/>
                <w:sz w:val="24"/>
                <w:shd w:fill="auto" w:val="clear"/>
              </w:rPr>
              <w:t xml:space="preserve">ægter §11. Det vil sige: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Har pligt til at holde sig orienterede om de i SI’s til enhver tid gældende overordnede målsætninger og indsatsområder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løbende at informere/orientere klubbens medlemmer om hvad der ”rører sig” i organisationen nationalt og internationalt.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Har pligt til at sikre, at klubbens aktiviteter holder fokus på SI’s værdier, missioner og visioner i forhold til klubaktiviteter og valg af de projekter hvortil vi yder økonomisk støtte.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9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Gruppens relation til SIE’s strategi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jvf beskrivelse i den bl</w:t>
            </w:r>
            <w:r>
              <w:rPr>
                <w:rFonts w:ascii="Calibri" w:hAnsi="Calibri" w:cs="Calibri" w:eastAsia="Calibri"/>
                <w:b/>
                <w:color w:val="auto"/>
                <w:spacing w:val="0"/>
                <w:position w:val="0"/>
                <w:sz w:val="24"/>
                <w:shd w:fill="auto" w:val="clear"/>
              </w:rPr>
              <w:t xml:space="preserve">å medlemsbog side 150.</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 ovenstående.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9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Felterne udfyldes i det omfang det giver mening for det enkelte udvalg.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17.12.2020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